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928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92887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Linford Michael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AFFIRM HOLDINGS,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Affirm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06/26/2026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522"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2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80" w:type="dxa"/>
            <w:vAlign w:val="bottom"/>
            <w:shd w:val="clear" w:color="auto" w:fill="9A9A9A"/>
          </w:tcPr>
          <w:p>
            <w:pPr>
              <w:spacing w:after="0"/>
              <w:rPr>
                <w:sz w:val="4"/>
                <w:szCs w:val="4"/>
                <w:color w:val="auto"/>
              </w:rPr>
            </w:pPr>
          </w:p>
        </w:tc>
        <w:tc>
          <w:tcPr>
            <w:tcW w:w="3700" w:type="dxa"/>
            <w:vAlign w:val="bottom"/>
            <w:gridSpan w:val="5"/>
            <w:vMerge w:val="restart"/>
          </w:tcPr>
          <w:p>
            <w:pPr>
              <w:jc w:val="center"/>
              <w:ind w:right="138"/>
              <w:spacing w:after="0"/>
              <w:rPr>
                <w:sz w:val="20"/>
                <w:szCs w:val="20"/>
                <w:color w:val="auto"/>
              </w:rPr>
            </w:pPr>
            <w:r>
              <w:rPr>
                <w:rFonts w:ascii="Arial" w:cs="Arial" w:eastAsia="Arial" w:hAnsi="Arial"/>
                <w:sz w:val="13"/>
                <w:szCs w:val="13"/>
                <w:color w:val="auto"/>
                <w:w w:val="96"/>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700" w:type="dxa"/>
            <w:vAlign w:val="bottom"/>
            <w:gridSpan w:val="5"/>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640" w:type="dxa"/>
            <w:vAlign w:val="bottom"/>
          </w:tcPr>
          <w:p>
            <w:pPr>
              <w:spacing w:after="0"/>
              <w:rPr>
                <w:sz w:val="17"/>
                <w:szCs w:val="17"/>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94108</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2"/>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06/26/2026</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100,000</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5.39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217,984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06/26/2026</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100,000</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80.04</w:t>
            </w:r>
            <w:r>
              <w:rPr>
                <w:rFonts w:ascii="Times New Roman" w:cs="Times New Roman" w:eastAsia="Times New Roman" w:hAnsi="Times New Roman"/>
                <w:sz w:val="20"/>
                <w:szCs w:val="20"/>
                <w:color w:val="008000"/>
                <w:w w:val="99"/>
                <w:vertAlign w:val="superscript"/>
              </w:rPr>
              <w:t>(2)</w:t>
            </w:r>
          </w:p>
        </w:tc>
        <w:tc>
          <w:tcPr>
            <w:tcW w:w="12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117,984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vMerge w:val="restart"/>
          </w:tcPr>
          <w:p>
            <w:pPr>
              <w:ind w:left="400"/>
              <w:spacing w:after="0" w:line="202" w:lineRule="exact"/>
              <w:rPr>
                <w:sz w:val="20"/>
                <w:szCs w:val="20"/>
                <w:color w:val="auto"/>
              </w:rPr>
            </w:pPr>
            <w:r>
              <w:rPr>
                <w:rFonts w:ascii="Times New Roman" w:cs="Times New Roman" w:eastAsia="Times New Roman" w:hAnsi="Times New Roman"/>
                <w:sz w:val="13"/>
                <w:szCs w:val="13"/>
                <w:color w:val="0000FF"/>
              </w:rPr>
              <w:t>100,000</w:t>
            </w:r>
            <w:r>
              <w:rPr>
                <w:rFonts w:ascii="Times New Roman" w:cs="Times New Roman" w:eastAsia="Times New Roman" w:hAnsi="Times New Roman"/>
                <w:sz w:val="20"/>
                <w:szCs w:val="20"/>
                <w:color w:val="008000"/>
                <w:vertAlign w:val="superscript"/>
              </w:rPr>
              <w:t>(1)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100,000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w:t>
            </w:r>
          </w:p>
        </w:tc>
        <w:tc>
          <w:tcPr>
            <w:tcW w:w="120" w:type="dxa"/>
            <w:vAlign w:val="bottom"/>
          </w:tcPr>
          <w:p>
            <w:pPr>
              <w:spacing w:after="0"/>
              <w:rPr>
                <w:sz w:val="6"/>
                <w:szCs w:val="6"/>
                <w:color w:val="auto"/>
              </w:rPr>
            </w:pPr>
          </w:p>
        </w:tc>
        <w:tc>
          <w:tcPr>
            <w:tcW w:w="1060" w:type="dxa"/>
            <w:vAlign w:val="bottom"/>
            <w:vMerge w:val="restart"/>
          </w:tcPr>
          <w:p>
            <w:pPr>
              <w:jc w:val="right"/>
              <w:ind w:right="177"/>
              <w:spacing w:after="0" w:line="139" w:lineRule="exact"/>
              <w:rPr>
                <w:sz w:val="20"/>
                <w:szCs w:val="20"/>
                <w:color w:val="auto"/>
              </w:rPr>
            </w:pPr>
            <w:r>
              <w:rPr>
                <w:rFonts w:ascii="Times New Roman" w:cs="Times New Roman" w:eastAsia="Times New Roman" w:hAnsi="Times New Roman"/>
                <w:sz w:val="13"/>
                <w:szCs w:val="13"/>
                <w:color w:val="0000FF"/>
              </w:rPr>
              <w:t>06/26/2026</w:t>
            </w:r>
          </w:p>
        </w:tc>
        <w:tc>
          <w:tcPr>
            <w:tcW w:w="1060" w:type="dxa"/>
            <w:vAlign w:val="bottom"/>
          </w:tcPr>
          <w:p>
            <w:pPr>
              <w:spacing w:after="0"/>
              <w:rPr>
                <w:sz w:val="6"/>
                <w:szCs w:val="6"/>
                <w:color w:val="auto"/>
              </w:rPr>
            </w:pPr>
          </w:p>
        </w:tc>
        <w:tc>
          <w:tcPr>
            <w:tcW w:w="74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0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restart"/>
          </w:tcPr>
          <w:p>
            <w:pPr>
              <w:jc w:val="right"/>
              <w:ind w:right="56"/>
              <w:spacing w:after="0" w:line="139" w:lineRule="exact"/>
              <w:rPr>
                <w:sz w:val="20"/>
                <w:szCs w:val="20"/>
                <w:color w:val="auto"/>
              </w:rPr>
            </w:pPr>
            <w:r>
              <w:rPr>
                <w:rFonts w:ascii="Times New Roman" w:cs="Times New Roman" w:eastAsia="Times New Roman" w:hAnsi="Times New Roman"/>
                <w:sz w:val="13"/>
                <w:szCs w:val="13"/>
                <w:color w:val="0000FF"/>
              </w:rPr>
              <w:t>08/26/2028</w:t>
            </w:r>
          </w:p>
        </w:tc>
        <w:tc>
          <w:tcPr>
            <w:tcW w:w="6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20"/>
              <w:spacing w:after="0" w:line="139" w:lineRule="exact"/>
              <w:rPr>
                <w:sz w:val="20"/>
                <w:szCs w:val="20"/>
                <w:color w:val="auto"/>
              </w:rPr>
            </w:pPr>
            <w:r>
              <w:rPr>
                <w:rFonts w:ascii="Times New Roman" w:cs="Times New Roman" w:eastAsia="Times New Roman" w:hAnsi="Times New Roman"/>
                <w:sz w:val="13"/>
                <w:szCs w:val="13"/>
                <w:color w:val="0000FF"/>
              </w:rPr>
              <w:t>433,870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-1809115</wp:posOffset>
            </wp:positionV>
            <wp:extent cx="28575" cy="181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December 9, 2025.</w:t>
      </w:r>
    </w:p>
    <w:p>
      <w:pPr>
        <w:spacing w:after="0" w:line="39" w:lineRule="exact"/>
        <w:rPr>
          <w:rFonts w:ascii="Times New Roman" w:cs="Times New Roman" w:eastAsia="Times New Roman" w:hAnsi="Times New Roman"/>
          <w:sz w:val="13"/>
          <w:szCs w:val="13"/>
          <w:color w:val="008000"/>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shares sold from $80.00 to $80.30 per share. The Reporting Person will provide, upon request by the Commission staff, the Issuer, or a security holder of the Issuer,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left="40" w:right="180" w:hanging="2"/>
        <w:spacing w:after="0" w:line="263"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Stock options vested with respect to 1/4 of the shares of the Issuer's Class A common stock, par value $0.00001 per share ("Class A Common Stock"), underlying the stock option on the one-year anniversary of August 27, 2018, the vesting commencement date, and the remaining 3/4 of the shares underlying the option vested in equal monthly installments over the subsequent three years, in each case subject to the Reporting Person's continued service with the Issuer. The Reporting Person can elect to exercise the stock options at any time, provided that the shares acquired upon exercise remain subject to the applicable vesting schedule.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 Samples,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06/30/2026</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913"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2026-06-30T15:09:48Z</dcterms:created>
  <dcterms:modified xsi:type="dcterms:W3CDTF">2026-06-30T15:09:48Z</dcterms:modified>
</cp:coreProperties>
</file>