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5946.xml.htm"/>
      <w:bookmarkStart w:id="1" w:name="kswkform4_17884659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Michalek Libor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MAIN ST.,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921"/>
        <w:gridCol w:w="445"/>
        <w:gridCol w:w="748"/>
        <w:gridCol w:w="1146"/>
        <w:gridCol w:w="985"/>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236,261</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5,784</w:t>
            </w:r>
            <w:r>
              <w:rPr>
                <w:rFonts w:ascii="Times;serif" w:hAnsi="Times;serif"/>
                <w:color w:val="008000"/>
                <w:position w:val="7"/>
                <w:sz w:val="16"/>
                <w:sz w:val="20"/>
                <w:shd w:fill="FFFFFF" w:val="clear"/>
              </w:rPr>
              <w:t>(1)</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69.94</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230,477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868,114</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Michalek 2007 Trust dated March 21, 2007</w:t>
            </w:r>
            <w:r>
              <w:rPr>
                <w:rFonts w:ascii="Times;serif" w:hAnsi="Times;serif"/>
                <w:color w:val="008000"/>
                <w:position w:val="7"/>
                <w:sz w:val="16"/>
                <w:sz w:val="20"/>
                <w:shd w:fill="FFFFFF" w:val="clear"/>
              </w:rPr>
              <w:t>(2)</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3,707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Michalek 2007 Family Trust dated March 21, 2007. The Reporting Person and his spouse are trustees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48 equal monthly installments beginning October 1, 2022, subject to the Reporting Person's continuous service with the Issuer as of each vesting date. This grant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16 equal quarterly installments beginning September 1, 2025, subject to the Reporting Person's continuous service with the Issuer as of each vesting date. This grant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vest in equal quarterly installments for a period of three years beginning December 1, 2025, the vesting commencement date, subject to the Reporting Person's continued employment with the Issuer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10"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4421</Characters>
  <CharactersWithSpaces>5136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