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3639.xml.htm"/>
      <w:bookmarkStart w:id="1" w:name="kswkform4_17858736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Michalek Libor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AFFIRM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MAIN ST., FLOOR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Affirm Holdings, Inc.</w:t>
              </w:r>
            </w:hyperlink>
            <w:r>
              <w:rPr/>
              <w:t xml:space="preserve"> [ </w:t>
            </w:r>
            <w:r>
              <w:rPr>
                <w:rFonts w:ascii="Times;serif" w:hAnsi="Times;serif"/>
                <w:color w:val="0000FF"/>
                <w:sz w:val="24"/>
                <w:shd w:fill="FFFFFF" w:val="clear"/>
              </w:rPr>
              <w:t>AFRM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0"/>
        <w:gridCol w:w="904"/>
        <w:gridCol w:w="774"/>
        <w:gridCol w:w="600"/>
        <w:gridCol w:w="346"/>
        <w:gridCol w:w="881"/>
        <w:gridCol w:w="447"/>
        <w:gridCol w:w="751"/>
        <w:gridCol w:w="1151"/>
        <w:gridCol w:w="989"/>
        <w:gridCol w:w="106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2,335</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226,086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1,189</w:t>
            </w:r>
            <w:r>
              <w:rPr>
                <w:rFonts w:ascii="Times;serif" w:hAnsi="Times;serif"/>
                <w:color w:val="008000"/>
                <w:position w:val="7"/>
                <w:sz w:val="16"/>
                <w:sz w:val="20"/>
                <w:shd w:fill="FFFFFF" w:val="clear"/>
              </w:rPr>
              <w:t>(1)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71.51</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224,897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868,114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Michalek 2007 Trust dated March 21, 2007</w:t>
            </w:r>
            <w:r>
              <w:rPr>
                <w:rFonts w:ascii="Times;serif" w:hAnsi="Times;serif"/>
                <w:color w:val="008000"/>
                <w:position w:val="7"/>
                <w:sz w:val="16"/>
                <w:sz w:val="20"/>
                <w:shd w:fill="FFFFFF" w:val="clear"/>
              </w:rPr>
              <w:t>(2)</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the Issuer's Common Stock withheld to satisfy the Reporting Person's tax obligation in connection with the settlement of shares of Common Stock underlying the Reporting Person's restricted stock units that vested on August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the Michalek 2007 Family Trust dated March 21, 2007. The Reporting Person and his spouse are trustees of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48 equal monthly installments beginning October 1, 2022, subject to the Reporting Person's continuous service with the Issuer as of each vesting date. This grant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 Samples,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2810" TargetMode="External"/><Relationship Id="rId5" Type="http://schemas.openxmlformats.org/officeDocument/2006/relationships/hyperlink" Target="http://www.sec.gov/cgi-bin/browse-edgar?action=getcompany&amp;CIK=0001820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3901</Characters>
  <CharactersWithSpaces>4538</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