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3645.xml.htm"/>
      <w:bookmarkStart w:id="1" w:name="kswkform4_17858736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Adkins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MAIN ST.,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147,274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634</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146,640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to satisfy the Reporting Person's tax obligation in connection with the settlement of shares of Common Stock underlying the Reporting Person's restricted stock units that vested on August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48 equal monthly installments beginning October 1, 2022, subject to the Reporting Person's continuous service with the Issuer as of each vesting date. This grant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0331"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3731</Characters>
  <CharactersWithSpaces>4336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